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667DD" w14:textId="77777777" w:rsidR="002375EA" w:rsidRDefault="00425CD2">
      <w:pPr>
        <w:pStyle w:val="a4"/>
        <w:tabs>
          <w:tab w:val="left" w:pos="420"/>
        </w:tabs>
        <w:adjustRightInd w:val="0"/>
        <w:snapToGrid w:val="0"/>
        <w:spacing w:before="0" w:afterLines="25" w:after="78" w:line="360" w:lineRule="auto"/>
        <w:jc w:val="center"/>
        <w:rPr>
          <w:rFonts w:cs="黑体"/>
          <w:b/>
          <w:sz w:val="36"/>
          <w:szCs w:val="36"/>
        </w:rPr>
      </w:pPr>
      <w:r>
        <w:rPr>
          <w:rFonts w:cs="黑体" w:hint="eastAsia"/>
          <w:b/>
          <w:sz w:val="36"/>
          <w:szCs w:val="36"/>
        </w:rPr>
        <w:t>评分表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954"/>
        <w:gridCol w:w="3119"/>
        <w:gridCol w:w="8143"/>
      </w:tblGrid>
      <w:tr w:rsidR="002375EA" w14:paraId="5E38C5BA" w14:textId="77777777">
        <w:trPr>
          <w:trHeight w:val="1049"/>
          <w:jc w:val="center"/>
        </w:trPr>
        <w:tc>
          <w:tcPr>
            <w:tcW w:w="621" w:type="pct"/>
            <w:vAlign w:val="center"/>
          </w:tcPr>
          <w:p w14:paraId="1037FFC4" w14:textId="77777777" w:rsidR="002375EA" w:rsidRDefault="00425CD2">
            <w:pPr>
              <w:jc w:val="center"/>
              <w:rPr>
                <w:rFonts w:ascii="黑体" w:hAnsi="黑体"/>
                <w:b/>
                <w:sz w:val="28"/>
                <w:szCs w:val="28"/>
              </w:rPr>
            </w:pPr>
            <w:r>
              <w:rPr>
                <w:rFonts w:ascii="黑体" w:hAnsi="黑体" w:hint="eastAsia"/>
                <w:b/>
                <w:sz w:val="28"/>
                <w:szCs w:val="28"/>
              </w:rPr>
              <w:t>评审条款</w:t>
            </w:r>
          </w:p>
        </w:tc>
        <w:tc>
          <w:tcPr>
            <w:tcW w:w="342" w:type="pct"/>
            <w:vAlign w:val="center"/>
          </w:tcPr>
          <w:p w14:paraId="29A29227" w14:textId="77777777" w:rsidR="002375EA" w:rsidRDefault="00425CD2">
            <w:pPr>
              <w:jc w:val="center"/>
              <w:rPr>
                <w:rFonts w:ascii="黑体" w:hAnsi="黑体"/>
                <w:b/>
                <w:sz w:val="28"/>
                <w:szCs w:val="28"/>
              </w:rPr>
            </w:pPr>
            <w:r>
              <w:rPr>
                <w:rFonts w:ascii="黑体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18" w:type="pct"/>
            <w:vAlign w:val="center"/>
          </w:tcPr>
          <w:p w14:paraId="1A7EAFDF" w14:textId="77777777" w:rsidR="002375EA" w:rsidRDefault="00425CD2">
            <w:pPr>
              <w:jc w:val="center"/>
              <w:rPr>
                <w:rFonts w:ascii="黑体" w:hAnsi="黑体"/>
                <w:b/>
                <w:sz w:val="28"/>
                <w:szCs w:val="28"/>
              </w:rPr>
            </w:pPr>
            <w:r>
              <w:rPr>
                <w:rFonts w:ascii="黑体" w:hAnsi="黑体" w:hint="eastAsia"/>
                <w:b/>
                <w:sz w:val="28"/>
                <w:szCs w:val="28"/>
              </w:rPr>
              <w:t>评审项</w:t>
            </w:r>
          </w:p>
        </w:tc>
        <w:tc>
          <w:tcPr>
            <w:tcW w:w="2919" w:type="pct"/>
            <w:vAlign w:val="center"/>
          </w:tcPr>
          <w:p w14:paraId="2CCC5BEC" w14:textId="77777777" w:rsidR="002375EA" w:rsidRDefault="00425CD2">
            <w:pPr>
              <w:jc w:val="center"/>
              <w:rPr>
                <w:rFonts w:ascii="黑体" w:hAnsi="黑体"/>
                <w:b/>
                <w:sz w:val="28"/>
                <w:szCs w:val="28"/>
              </w:rPr>
            </w:pPr>
            <w:r>
              <w:rPr>
                <w:rFonts w:ascii="黑体" w:hAnsi="黑体" w:hint="eastAsia"/>
                <w:b/>
                <w:sz w:val="28"/>
                <w:szCs w:val="28"/>
              </w:rPr>
              <w:t>评审细则及分值</w:t>
            </w:r>
          </w:p>
        </w:tc>
      </w:tr>
      <w:tr w:rsidR="002375EA" w14:paraId="730FCD29" w14:textId="77777777">
        <w:trPr>
          <w:trHeight w:val="20"/>
          <w:jc w:val="center"/>
        </w:trPr>
        <w:tc>
          <w:tcPr>
            <w:tcW w:w="621" w:type="pct"/>
            <w:vAlign w:val="center"/>
          </w:tcPr>
          <w:p w14:paraId="3FAD8A96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价格部分</w:t>
            </w:r>
          </w:p>
          <w:p w14:paraId="71CFF49A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（</w:t>
            </w:r>
            <w:r>
              <w:rPr>
                <w:rFonts w:ascii="黑体" w:hAnsi="黑体" w:hint="eastAsia"/>
                <w:szCs w:val="21"/>
              </w:rPr>
              <w:t>30</w:t>
            </w:r>
            <w:r>
              <w:rPr>
                <w:rFonts w:ascii="黑体" w:hAnsi="黑体" w:hint="eastAsia"/>
                <w:szCs w:val="21"/>
              </w:rPr>
              <w:t>分）</w:t>
            </w:r>
          </w:p>
        </w:tc>
        <w:tc>
          <w:tcPr>
            <w:tcW w:w="342" w:type="pct"/>
            <w:vAlign w:val="center"/>
          </w:tcPr>
          <w:p w14:paraId="0077DBD0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1</w:t>
            </w:r>
          </w:p>
        </w:tc>
        <w:tc>
          <w:tcPr>
            <w:tcW w:w="1118" w:type="pct"/>
            <w:vAlign w:val="center"/>
          </w:tcPr>
          <w:p w14:paraId="62666A16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价格</w:t>
            </w:r>
          </w:p>
          <w:p w14:paraId="71768883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（</w:t>
            </w:r>
            <w:r>
              <w:rPr>
                <w:rFonts w:ascii="黑体" w:hAnsi="黑体" w:hint="eastAsia"/>
                <w:szCs w:val="21"/>
              </w:rPr>
              <w:t>30</w:t>
            </w:r>
            <w:r>
              <w:rPr>
                <w:rFonts w:ascii="黑体" w:hAnsi="黑体" w:hint="eastAsia"/>
                <w:szCs w:val="21"/>
              </w:rPr>
              <w:t>分）</w:t>
            </w:r>
          </w:p>
        </w:tc>
        <w:tc>
          <w:tcPr>
            <w:tcW w:w="2919" w:type="pct"/>
            <w:vAlign w:val="center"/>
          </w:tcPr>
          <w:p w14:paraId="758E9FC0" w14:textId="77777777" w:rsidR="002375EA" w:rsidRDefault="00425CD2">
            <w:pPr>
              <w:adjustRightInd w:val="0"/>
              <w:snapToGrid w:val="0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满足采购文件要求且报价最低的为评审基准价，其价格分为满分。其他报价人的价格</w:t>
            </w:r>
            <w:proofErr w:type="gramStart"/>
            <w:r>
              <w:rPr>
                <w:rFonts w:ascii="黑体" w:hAnsi="黑体" w:hint="eastAsia"/>
                <w:szCs w:val="21"/>
              </w:rPr>
              <w:t>分统一</w:t>
            </w:r>
            <w:proofErr w:type="gramEnd"/>
            <w:r>
              <w:rPr>
                <w:rFonts w:ascii="黑体" w:hAnsi="黑体" w:hint="eastAsia"/>
                <w:szCs w:val="21"/>
              </w:rPr>
              <w:t>按照下列公式计算：</w:t>
            </w:r>
          </w:p>
          <w:p w14:paraId="6B03CFEE" w14:textId="77777777" w:rsidR="002375EA" w:rsidRDefault="00425CD2">
            <w:pPr>
              <w:jc w:val="left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报价得分</w:t>
            </w:r>
            <w:r>
              <w:rPr>
                <w:rFonts w:ascii="黑体" w:hAnsi="黑体" w:hint="eastAsia"/>
                <w:szCs w:val="21"/>
              </w:rPr>
              <w:t>=</w:t>
            </w:r>
            <w:r>
              <w:rPr>
                <w:rFonts w:ascii="黑体" w:hAnsi="黑体" w:hint="eastAsia"/>
                <w:szCs w:val="21"/>
              </w:rPr>
              <w:t>（基准价</w:t>
            </w:r>
            <w:r>
              <w:rPr>
                <w:rFonts w:ascii="黑体" w:hAnsi="黑体" w:hint="eastAsia"/>
                <w:szCs w:val="21"/>
              </w:rPr>
              <w:t>/</w:t>
            </w:r>
            <w:r>
              <w:rPr>
                <w:rFonts w:ascii="黑体" w:hAnsi="黑体" w:hint="eastAsia"/>
                <w:szCs w:val="21"/>
              </w:rPr>
              <w:t>报价）×</w:t>
            </w:r>
            <w:r>
              <w:rPr>
                <w:rFonts w:ascii="黑体" w:hAnsi="黑体" w:hint="eastAsia"/>
                <w:szCs w:val="21"/>
              </w:rPr>
              <w:t>30</w:t>
            </w:r>
          </w:p>
        </w:tc>
      </w:tr>
      <w:tr w:rsidR="002375EA" w14:paraId="5998B6BE" w14:textId="77777777">
        <w:trPr>
          <w:trHeight w:val="1092"/>
          <w:jc w:val="center"/>
        </w:trPr>
        <w:tc>
          <w:tcPr>
            <w:tcW w:w="621" w:type="pct"/>
            <w:vMerge w:val="restart"/>
            <w:vAlign w:val="center"/>
          </w:tcPr>
          <w:p w14:paraId="79A448B6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服务部分</w:t>
            </w:r>
          </w:p>
          <w:p w14:paraId="41B0449E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（</w:t>
            </w:r>
            <w:r>
              <w:rPr>
                <w:rFonts w:ascii="黑体" w:hAnsi="黑体" w:hint="eastAsia"/>
                <w:szCs w:val="21"/>
              </w:rPr>
              <w:t>70</w:t>
            </w:r>
            <w:r>
              <w:rPr>
                <w:rFonts w:ascii="黑体" w:hAnsi="黑体" w:hint="eastAsia"/>
                <w:szCs w:val="21"/>
              </w:rPr>
              <w:t>分）</w:t>
            </w:r>
          </w:p>
        </w:tc>
        <w:tc>
          <w:tcPr>
            <w:tcW w:w="342" w:type="pct"/>
            <w:vAlign w:val="center"/>
          </w:tcPr>
          <w:p w14:paraId="2AB79D03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2</w:t>
            </w:r>
          </w:p>
        </w:tc>
        <w:tc>
          <w:tcPr>
            <w:tcW w:w="1118" w:type="pct"/>
            <w:vAlign w:val="center"/>
          </w:tcPr>
          <w:p w14:paraId="429E152D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产品满足相关参数</w:t>
            </w:r>
            <w:r>
              <w:rPr>
                <w:rFonts w:ascii="黑体" w:hAnsi="黑体" w:hint="eastAsia"/>
                <w:szCs w:val="21"/>
              </w:rPr>
              <w:t>和</w:t>
            </w:r>
            <w:r>
              <w:rPr>
                <w:rFonts w:ascii="黑体" w:hAnsi="黑体" w:hint="eastAsia"/>
                <w:szCs w:val="21"/>
              </w:rPr>
              <w:t>资质</w:t>
            </w:r>
            <w:r>
              <w:rPr>
                <w:rFonts w:ascii="黑体" w:hAnsi="黑体" w:hint="eastAsia"/>
                <w:szCs w:val="21"/>
              </w:rPr>
              <w:t>要求</w:t>
            </w:r>
          </w:p>
          <w:p w14:paraId="5A0CDA70" w14:textId="77777777" w:rsidR="002375EA" w:rsidRDefault="00425CD2">
            <w:pPr>
              <w:jc w:val="center"/>
              <w:rPr>
                <w:rFonts w:ascii="黑体" w:hAnsi="黑体"/>
                <w:color w:val="FF0000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（</w:t>
            </w:r>
            <w:r>
              <w:rPr>
                <w:rFonts w:ascii="黑体" w:hAnsi="黑体" w:hint="eastAsia"/>
                <w:szCs w:val="21"/>
              </w:rPr>
              <w:t>20</w:t>
            </w:r>
            <w:r>
              <w:rPr>
                <w:rFonts w:ascii="黑体" w:hAnsi="黑体" w:hint="eastAsia"/>
                <w:szCs w:val="21"/>
              </w:rPr>
              <w:t>分）</w:t>
            </w:r>
          </w:p>
        </w:tc>
        <w:tc>
          <w:tcPr>
            <w:tcW w:w="2919" w:type="pct"/>
            <w:vAlign w:val="center"/>
          </w:tcPr>
          <w:p w14:paraId="4EFDB87F" w14:textId="7F36EDC4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产品具有相应的检测报告</w:t>
            </w:r>
            <w:r>
              <w:rPr>
                <w:rFonts w:ascii="黑体" w:hAnsi="黑体" w:hint="eastAsia"/>
                <w:szCs w:val="21"/>
              </w:rPr>
              <w:t>，满足的前提下提供相应证明材料：</w:t>
            </w:r>
          </w:p>
          <w:p w14:paraId="2D333ABC" w14:textId="093221E4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全部提供的得20</w:t>
            </w:r>
            <w:r>
              <w:rPr>
                <w:rFonts w:ascii="黑体" w:hAnsi="黑体" w:hint="eastAsia"/>
                <w:szCs w:val="21"/>
              </w:rPr>
              <w:t>分；</w:t>
            </w:r>
          </w:p>
          <w:p w14:paraId="2B6B40C5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部分提供的酌情给分；</w:t>
            </w:r>
          </w:p>
          <w:p w14:paraId="290F3362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未提供</w:t>
            </w:r>
            <w:r>
              <w:rPr>
                <w:rFonts w:ascii="黑体" w:hAnsi="黑体"/>
                <w:szCs w:val="21"/>
              </w:rPr>
              <w:t>得</w:t>
            </w:r>
            <w:r>
              <w:rPr>
                <w:rFonts w:ascii="黑体" w:hAnsi="黑体"/>
                <w:szCs w:val="21"/>
              </w:rPr>
              <w:t>0</w:t>
            </w:r>
            <w:r>
              <w:rPr>
                <w:rFonts w:ascii="黑体" w:hAnsi="黑体"/>
                <w:szCs w:val="21"/>
              </w:rPr>
              <w:t>分。</w:t>
            </w:r>
            <w:bookmarkStart w:id="0" w:name="_GoBack"/>
            <w:bookmarkEnd w:id="0"/>
          </w:p>
        </w:tc>
      </w:tr>
      <w:tr w:rsidR="002375EA" w14:paraId="472EB4E2" w14:textId="77777777">
        <w:trPr>
          <w:trHeight w:val="20"/>
          <w:jc w:val="center"/>
        </w:trPr>
        <w:tc>
          <w:tcPr>
            <w:tcW w:w="621" w:type="pct"/>
            <w:vMerge/>
            <w:vAlign w:val="center"/>
          </w:tcPr>
          <w:p w14:paraId="0D85C0AF" w14:textId="77777777" w:rsidR="002375EA" w:rsidRDefault="002375EA">
            <w:pPr>
              <w:jc w:val="center"/>
              <w:rPr>
                <w:rFonts w:ascii="黑体" w:hAnsi="黑体"/>
                <w:szCs w:val="21"/>
              </w:rPr>
            </w:pPr>
          </w:p>
        </w:tc>
        <w:tc>
          <w:tcPr>
            <w:tcW w:w="342" w:type="pct"/>
            <w:vAlign w:val="center"/>
          </w:tcPr>
          <w:p w14:paraId="47887B08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3</w:t>
            </w:r>
          </w:p>
        </w:tc>
        <w:tc>
          <w:tcPr>
            <w:tcW w:w="1118" w:type="pct"/>
            <w:vAlign w:val="center"/>
          </w:tcPr>
          <w:p w14:paraId="56141602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同类项目实施业绩</w:t>
            </w:r>
          </w:p>
          <w:p w14:paraId="331238D7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（</w:t>
            </w:r>
            <w:r>
              <w:rPr>
                <w:rFonts w:ascii="黑体" w:hAnsi="黑体" w:hint="eastAsia"/>
                <w:szCs w:val="21"/>
              </w:rPr>
              <w:t>20</w:t>
            </w:r>
            <w:r>
              <w:rPr>
                <w:rFonts w:ascii="黑体" w:hAnsi="黑体" w:hint="eastAsia"/>
                <w:szCs w:val="21"/>
              </w:rPr>
              <w:t>分）</w:t>
            </w:r>
          </w:p>
        </w:tc>
        <w:tc>
          <w:tcPr>
            <w:tcW w:w="2919" w:type="pct"/>
            <w:vAlign w:val="center"/>
          </w:tcPr>
          <w:p w14:paraId="481989AE" w14:textId="749CC92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根据报价人近三年（</w:t>
            </w:r>
            <w:r>
              <w:rPr>
                <w:rFonts w:ascii="黑体" w:hAnsi="黑体" w:hint="eastAsia"/>
                <w:szCs w:val="21"/>
              </w:rPr>
              <w:t>2023</w:t>
            </w:r>
            <w:r>
              <w:rPr>
                <w:rFonts w:ascii="黑体" w:hAnsi="黑体" w:hint="eastAsia"/>
                <w:szCs w:val="21"/>
              </w:rPr>
              <w:t>年6</w:t>
            </w:r>
            <w:r>
              <w:rPr>
                <w:rFonts w:ascii="黑体" w:hAnsi="黑体" w:hint="eastAsia"/>
                <w:szCs w:val="21"/>
              </w:rPr>
              <w:t>月以后）的同类货物供货项目业绩，以合同（复印件加盖单位公章）为依据，每提供</w:t>
            </w:r>
            <w:r>
              <w:rPr>
                <w:rFonts w:ascii="黑体" w:hAnsi="黑体" w:hint="eastAsia"/>
                <w:szCs w:val="21"/>
              </w:rPr>
              <w:t>1</w:t>
            </w:r>
            <w:r>
              <w:rPr>
                <w:rFonts w:ascii="黑体" w:hAnsi="黑体" w:hint="eastAsia"/>
                <w:szCs w:val="21"/>
              </w:rPr>
              <w:t>个有效业绩得</w:t>
            </w:r>
            <w:r>
              <w:rPr>
                <w:rFonts w:ascii="黑体" w:hAnsi="黑体" w:hint="eastAsia"/>
                <w:szCs w:val="21"/>
              </w:rPr>
              <w:t>5</w:t>
            </w:r>
            <w:r>
              <w:rPr>
                <w:rFonts w:ascii="黑体" w:hAnsi="黑体" w:hint="eastAsia"/>
                <w:szCs w:val="21"/>
              </w:rPr>
              <w:t>分，最多得</w:t>
            </w:r>
            <w:r>
              <w:rPr>
                <w:rFonts w:ascii="黑体" w:hAnsi="黑体" w:hint="eastAsia"/>
                <w:szCs w:val="21"/>
              </w:rPr>
              <w:t>20</w:t>
            </w:r>
            <w:r>
              <w:rPr>
                <w:rFonts w:ascii="黑体" w:hAnsi="黑体" w:hint="eastAsia"/>
                <w:szCs w:val="21"/>
              </w:rPr>
              <w:t>分。</w:t>
            </w:r>
          </w:p>
        </w:tc>
      </w:tr>
      <w:tr w:rsidR="002375EA" w14:paraId="4AA2FFE1" w14:textId="77777777">
        <w:trPr>
          <w:trHeight w:val="20"/>
          <w:jc w:val="center"/>
        </w:trPr>
        <w:tc>
          <w:tcPr>
            <w:tcW w:w="621" w:type="pct"/>
            <w:vMerge/>
            <w:vAlign w:val="center"/>
          </w:tcPr>
          <w:p w14:paraId="0DCBE590" w14:textId="77777777" w:rsidR="002375EA" w:rsidRDefault="002375EA">
            <w:pPr>
              <w:jc w:val="center"/>
              <w:rPr>
                <w:rFonts w:ascii="黑体" w:hAnsi="黑体"/>
                <w:szCs w:val="21"/>
              </w:rPr>
            </w:pPr>
          </w:p>
        </w:tc>
        <w:tc>
          <w:tcPr>
            <w:tcW w:w="342" w:type="pct"/>
            <w:vAlign w:val="center"/>
          </w:tcPr>
          <w:p w14:paraId="5E9B5BD5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4</w:t>
            </w:r>
          </w:p>
        </w:tc>
        <w:tc>
          <w:tcPr>
            <w:tcW w:w="1118" w:type="pct"/>
            <w:vAlign w:val="center"/>
          </w:tcPr>
          <w:p w14:paraId="29D610F0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供货方案</w:t>
            </w:r>
          </w:p>
          <w:p w14:paraId="727605FC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（</w:t>
            </w:r>
            <w:r>
              <w:rPr>
                <w:rFonts w:ascii="黑体" w:hAnsi="黑体" w:hint="eastAsia"/>
                <w:szCs w:val="21"/>
              </w:rPr>
              <w:t>10</w:t>
            </w:r>
            <w:r>
              <w:rPr>
                <w:rFonts w:ascii="黑体" w:hAnsi="黑体" w:hint="eastAsia"/>
                <w:szCs w:val="21"/>
              </w:rPr>
              <w:t>分）</w:t>
            </w:r>
          </w:p>
        </w:tc>
        <w:tc>
          <w:tcPr>
            <w:tcW w:w="2919" w:type="pct"/>
            <w:vAlign w:val="center"/>
          </w:tcPr>
          <w:p w14:paraId="2EBEFF43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供货方案完善合理：</w:t>
            </w:r>
          </w:p>
          <w:p w14:paraId="6A1E78DB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完全满足用户实际需求，得</w:t>
            </w:r>
            <w:r>
              <w:rPr>
                <w:rFonts w:ascii="黑体" w:hAnsi="黑体" w:hint="eastAsia"/>
                <w:szCs w:val="21"/>
              </w:rPr>
              <w:t>10</w:t>
            </w:r>
            <w:r>
              <w:rPr>
                <w:rFonts w:ascii="黑体" w:hAnsi="黑体" w:hint="eastAsia"/>
                <w:szCs w:val="21"/>
              </w:rPr>
              <w:t>分；</w:t>
            </w:r>
          </w:p>
          <w:p w14:paraId="1FBB16A0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方案较为完善，基本满足用户实际需求</w:t>
            </w:r>
            <w:r>
              <w:rPr>
                <w:rFonts w:ascii="黑体" w:hAnsi="黑体"/>
                <w:szCs w:val="21"/>
              </w:rPr>
              <w:t>，</w:t>
            </w:r>
            <w:r>
              <w:rPr>
                <w:rFonts w:ascii="黑体" w:hAnsi="黑体" w:hint="eastAsia"/>
                <w:szCs w:val="21"/>
              </w:rPr>
              <w:t>得</w:t>
            </w:r>
            <w:r>
              <w:rPr>
                <w:rFonts w:ascii="黑体" w:hAnsi="黑体" w:hint="eastAsia"/>
                <w:szCs w:val="21"/>
              </w:rPr>
              <w:t>8</w:t>
            </w:r>
            <w:r>
              <w:rPr>
                <w:rFonts w:ascii="黑体" w:hAnsi="黑体" w:hint="eastAsia"/>
                <w:szCs w:val="21"/>
              </w:rPr>
              <w:t>分；</w:t>
            </w:r>
          </w:p>
          <w:p w14:paraId="616E6941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方案不合理，不满足用户需求，得</w:t>
            </w:r>
            <w:r>
              <w:rPr>
                <w:rFonts w:ascii="黑体" w:hAnsi="黑体" w:hint="eastAsia"/>
                <w:szCs w:val="21"/>
              </w:rPr>
              <w:t>5</w:t>
            </w:r>
            <w:r>
              <w:rPr>
                <w:rFonts w:ascii="黑体" w:hAnsi="黑体" w:hint="eastAsia"/>
                <w:szCs w:val="21"/>
              </w:rPr>
              <w:t>分；</w:t>
            </w:r>
          </w:p>
          <w:p w14:paraId="5EE86866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未提供</w:t>
            </w:r>
            <w:r>
              <w:rPr>
                <w:rFonts w:ascii="黑体" w:hAnsi="黑体"/>
                <w:szCs w:val="21"/>
              </w:rPr>
              <w:t>得</w:t>
            </w:r>
            <w:r>
              <w:rPr>
                <w:rFonts w:ascii="黑体" w:hAnsi="黑体"/>
                <w:szCs w:val="21"/>
              </w:rPr>
              <w:t>0</w:t>
            </w:r>
            <w:r>
              <w:rPr>
                <w:rFonts w:ascii="黑体" w:hAnsi="黑体"/>
                <w:szCs w:val="21"/>
              </w:rPr>
              <w:t>分。</w:t>
            </w:r>
          </w:p>
        </w:tc>
      </w:tr>
      <w:tr w:rsidR="002375EA" w14:paraId="0ADFBC8D" w14:textId="77777777">
        <w:trPr>
          <w:trHeight w:val="20"/>
          <w:jc w:val="center"/>
        </w:trPr>
        <w:tc>
          <w:tcPr>
            <w:tcW w:w="621" w:type="pct"/>
            <w:vMerge/>
            <w:vAlign w:val="center"/>
          </w:tcPr>
          <w:p w14:paraId="13B5FD47" w14:textId="77777777" w:rsidR="002375EA" w:rsidRDefault="002375EA">
            <w:pPr>
              <w:jc w:val="center"/>
              <w:rPr>
                <w:rFonts w:ascii="黑体" w:hAnsi="黑体"/>
                <w:szCs w:val="21"/>
              </w:rPr>
            </w:pPr>
          </w:p>
        </w:tc>
        <w:tc>
          <w:tcPr>
            <w:tcW w:w="342" w:type="pct"/>
            <w:vAlign w:val="center"/>
          </w:tcPr>
          <w:p w14:paraId="5C478326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/>
                <w:szCs w:val="21"/>
              </w:rPr>
              <w:t>5</w:t>
            </w:r>
          </w:p>
        </w:tc>
        <w:tc>
          <w:tcPr>
            <w:tcW w:w="1118" w:type="pct"/>
            <w:vAlign w:val="center"/>
          </w:tcPr>
          <w:p w14:paraId="25CC029C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售后服务方案</w:t>
            </w:r>
          </w:p>
          <w:p w14:paraId="386808CE" w14:textId="77777777" w:rsidR="002375EA" w:rsidRDefault="00425CD2">
            <w:pPr>
              <w:jc w:val="center"/>
              <w:rPr>
                <w:rFonts w:ascii="黑体" w:hAnsi="黑体"/>
                <w:szCs w:val="21"/>
                <w:highlight w:val="yellow"/>
              </w:rPr>
            </w:pPr>
            <w:r>
              <w:rPr>
                <w:rFonts w:ascii="黑体" w:hAnsi="黑体" w:hint="eastAsia"/>
                <w:szCs w:val="21"/>
              </w:rPr>
              <w:t>（</w:t>
            </w:r>
            <w:r>
              <w:rPr>
                <w:rFonts w:ascii="黑体" w:hAnsi="黑体" w:hint="eastAsia"/>
                <w:szCs w:val="21"/>
              </w:rPr>
              <w:t>10</w:t>
            </w:r>
            <w:r>
              <w:rPr>
                <w:rFonts w:ascii="黑体" w:hAnsi="黑体" w:hint="eastAsia"/>
                <w:szCs w:val="21"/>
              </w:rPr>
              <w:t>分）</w:t>
            </w:r>
          </w:p>
        </w:tc>
        <w:tc>
          <w:tcPr>
            <w:tcW w:w="2919" w:type="pct"/>
            <w:vAlign w:val="center"/>
          </w:tcPr>
          <w:p w14:paraId="3DA8FB3C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水质及药剂使用相关售后服务措施（包括响应时间、处理方案等）：</w:t>
            </w:r>
          </w:p>
          <w:p w14:paraId="2ADDB2AE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方案最完善的得</w:t>
            </w:r>
            <w:r>
              <w:rPr>
                <w:rFonts w:ascii="黑体" w:hAnsi="黑体" w:hint="eastAsia"/>
                <w:szCs w:val="21"/>
              </w:rPr>
              <w:t>10</w:t>
            </w:r>
            <w:r>
              <w:rPr>
                <w:rFonts w:ascii="黑体" w:hAnsi="黑体"/>
                <w:szCs w:val="21"/>
              </w:rPr>
              <w:t>分</w:t>
            </w:r>
            <w:r>
              <w:rPr>
                <w:rFonts w:ascii="黑体" w:hAnsi="黑体" w:hint="eastAsia"/>
                <w:szCs w:val="21"/>
              </w:rPr>
              <w:t>；</w:t>
            </w:r>
          </w:p>
          <w:p w14:paraId="5EF8E0A1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方案较为完善得</w:t>
            </w:r>
            <w:r>
              <w:rPr>
                <w:rFonts w:ascii="黑体" w:hAnsi="黑体" w:hint="eastAsia"/>
                <w:szCs w:val="21"/>
              </w:rPr>
              <w:t>8</w:t>
            </w:r>
            <w:r>
              <w:rPr>
                <w:rFonts w:ascii="黑体" w:hAnsi="黑体" w:hint="eastAsia"/>
                <w:szCs w:val="21"/>
              </w:rPr>
              <w:t>分；</w:t>
            </w:r>
          </w:p>
          <w:p w14:paraId="1DEE2D16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方案不完善得</w:t>
            </w:r>
            <w:r>
              <w:rPr>
                <w:rFonts w:ascii="黑体" w:hAnsi="黑体" w:hint="eastAsia"/>
                <w:szCs w:val="21"/>
              </w:rPr>
              <w:t>5</w:t>
            </w:r>
            <w:r>
              <w:rPr>
                <w:rFonts w:ascii="黑体" w:hAnsi="黑体" w:hint="eastAsia"/>
                <w:szCs w:val="21"/>
              </w:rPr>
              <w:t>分；</w:t>
            </w:r>
          </w:p>
          <w:p w14:paraId="65B787DE" w14:textId="77777777" w:rsidR="002375EA" w:rsidRDefault="00425CD2">
            <w:pPr>
              <w:rPr>
                <w:rFonts w:ascii="黑体" w:hAnsi="黑体"/>
                <w:szCs w:val="21"/>
                <w:highlight w:val="yellow"/>
              </w:rPr>
            </w:pPr>
            <w:r>
              <w:rPr>
                <w:rFonts w:ascii="黑体" w:hAnsi="黑体" w:hint="eastAsia"/>
                <w:szCs w:val="21"/>
              </w:rPr>
              <w:t>未提供</w:t>
            </w:r>
            <w:r>
              <w:rPr>
                <w:rFonts w:ascii="黑体" w:hAnsi="黑体"/>
                <w:szCs w:val="21"/>
              </w:rPr>
              <w:t>得</w:t>
            </w:r>
            <w:r>
              <w:rPr>
                <w:rFonts w:ascii="黑体" w:hAnsi="黑体"/>
                <w:szCs w:val="21"/>
              </w:rPr>
              <w:t>0</w:t>
            </w:r>
            <w:r>
              <w:rPr>
                <w:rFonts w:ascii="黑体" w:hAnsi="黑体"/>
                <w:szCs w:val="21"/>
              </w:rPr>
              <w:t>分。</w:t>
            </w:r>
          </w:p>
        </w:tc>
      </w:tr>
      <w:tr w:rsidR="002375EA" w14:paraId="2021CC88" w14:textId="77777777">
        <w:trPr>
          <w:cantSplit/>
          <w:trHeight w:val="20"/>
          <w:jc w:val="center"/>
        </w:trPr>
        <w:tc>
          <w:tcPr>
            <w:tcW w:w="621" w:type="pct"/>
            <w:vMerge/>
            <w:vAlign w:val="center"/>
          </w:tcPr>
          <w:p w14:paraId="3EEB12BF" w14:textId="77777777" w:rsidR="002375EA" w:rsidRDefault="002375EA">
            <w:pPr>
              <w:jc w:val="center"/>
              <w:rPr>
                <w:rFonts w:ascii="黑体" w:hAnsi="黑体"/>
                <w:szCs w:val="21"/>
              </w:rPr>
            </w:pPr>
          </w:p>
        </w:tc>
        <w:tc>
          <w:tcPr>
            <w:tcW w:w="342" w:type="pct"/>
            <w:vAlign w:val="center"/>
          </w:tcPr>
          <w:p w14:paraId="21FD1036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9</w:t>
            </w:r>
          </w:p>
        </w:tc>
        <w:tc>
          <w:tcPr>
            <w:tcW w:w="1118" w:type="pct"/>
            <w:vAlign w:val="center"/>
          </w:tcPr>
          <w:p w14:paraId="43A89560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药剂使用</w:t>
            </w:r>
            <w:r>
              <w:rPr>
                <w:rFonts w:ascii="黑体" w:hAnsi="黑体"/>
                <w:szCs w:val="21"/>
              </w:rPr>
              <w:t>培训方案</w:t>
            </w:r>
          </w:p>
          <w:p w14:paraId="4B6B6D78" w14:textId="77777777" w:rsidR="002375EA" w:rsidRDefault="00425CD2">
            <w:pPr>
              <w:jc w:val="center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（</w:t>
            </w:r>
            <w:r>
              <w:rPr>
                <w:rFonts w:ascii="黑体" w:hAnsi="黑体" w:hint="eastAsia"/>
                <w:szCs w:val="21"/>
              </w:rPr>
              <w:t>10</w:t>
            </w:r>
            <w:r>
              <w:rPr>
                <w:rFonts w:ascii="黑体" w:hAnsi="黑体" w:hint="eastAsia"/>
                <w:szCs w:val="21"/>
              </w:rPr>
              <w:t>分）</w:t>
            </w:r>
          </w:p>
        </w:tc>
        <w:tc>
          <w:tcPr>
            <w:tcW w:w="2919" w:type="pct"/>
            <w:vAlign w:val="center"/>
          </w:tcPr>
          <w:p w14:paraId="078677A3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相应培训方案：</w:t>
            </w:r>
          </w:p>
          <w:p w14:paraId="4B29FD37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完善、详细、针对性强，得</w:t>
            </w:r>
            <w:r>
              <w:rPr>
                <w:rFonts w:ascii="黑体" w:hAnsi="黑体" w:hint="eastAsia"/>
                <w:szCs w:val="21"/>
              </w:rPr>
              <w:t>10</w:t>
            </w:r>
            <w:r>
              <w:rPr>
                <w:rFonts w:ascii="黑体" w:hAnsi="黑体" w:hint="eastAsia"/>
                <w:szCs w:val="21"/>
              </w:rPr>
              <w:t>分；</w:t>
            </w:r>
          </w:p>
          <w:p w14:paraId="2364CE20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方案较为完善得</w:t>
            </w:r>
            <w:r>
              <w:rPr>
                <w:rFonts w:ascii="黑体" w:hAnsi="黑体" w:hint="eastAsia"/>
                <w:szCs w:val="21"/>
              </w:rPr>
              <w:t>8</w:t>
            </w:r>
            <w:r>
              <w:rPr>
                <w:rFonts w:ascii="黑体" w:hAnsi="黑体" w:hint="eastAsia"/>
                <w:szCs w:val="21"/>
              </w:rPr>
              <w:t>分；</w:t>
            </w:r>
          </w:p>
          <w:p w14:paraId="6F562FD6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方案不完善得</w:t>
            </w:r>
            <w:r>
              <w:rPr>
                <w:rFonts w:ascii="黑体" w:hAnsi="黑体" w:hint="eastAsia"/>
                <w:szCs w:val="21"/>
              </w:rPr>
              <w:t>5</w:t>
            </w:r>
            <w:r>
              <w:rPr>
                <w:rFonts w:ascii="黑体" w:hAnsi="黑体" w:hint="eastAsia"/>
                <w:szCs w:val="21"/>
              </w:rPr>
              <w:t>分；</w:t>
            </w:r>
          </w:p>
          <w:p w14:paraId="6E2544F8" w14:textId="77777777" w:rsidR="002375EA" w:rsidRDefault="00425CD2">
            <w:pPr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未提供</w:t>
            </w:r>
            <w:r>
              <w:rPr>
                <w:rFonts w:ascii="黑体" w:hAnsi="黑体"/>
                <w:szCs w:val="21"/>
              </w:rPr>
              <w:t>得</w:t>
            </w:r>
            <w:r>
              <w:rPr>
                <w:rFonts w:ascii="黑体" w:hAnsi="黑体"/>
                <w:szCs w:val="21"/>
              </w:rPr>
              <w:t>0</w:t>
            </w:r>
            <w:r>
              <w:rPr>
                <w:rFonts w:ascii="黑体" w:hAnsi="黑体"/>
                <w:szCs w:val="21"/>
              </w:rPr>
              <w:t>分。</w:t>
            </w:r>
          </w:p>
        </w:tc>
      </w:tr>
    </w:tbl>
    <w:p w14:paraId="37E6A1E6" w14:textId="77777777" w:rsidR="002375EA" w:rsidRDefault="002375EA"/>
    <w:sectPr w:rsidR="002375EA">
      <w:pgSz w:w="16838" w:h="11906" w:orient="landscape"/>
      <w:pgMar w:top="851" w:right="1440" w:bottom="709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B9"/>
    <w:rsid w:val="00001C65"/>
    <w:rsid w:val="00211D9E"/>
    <w:rsid w:val="002375EA"/>
    <w:rsid w:val="00425CD2"/>
    <w:rsid w:val="00947977"/>
    <w:rsid w:val="00A359CA"/>
    <w:rsid w:val="00AA55A5"/>
    <w:rsid w:val="00DA73D4"/>
    <w:rsid w:val="00E807B9"/>
    <w:rsid w:val="33B61E3A"/>
    <w:rsid w:val="37707E62"/>
    <w:rsid w:val="5AB614D6"/>
    <w:rsid w:val="728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3A12"/>
  <w15:docId w15:val="{682C70D5-AC03-4573-8DB7-BE0FFD44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ourier New" w:eastAsia="黑体" w:hAnsi="Courier New" w:cs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iPriority w:val="99"/>
    <w:qFormat/>
    <w:pPr>
      <w:jc w:val="left"/>
    </w:pPr>
    <w:rPr>
      <w:szCs w:val="24"/>
    </w:rPr>
  </w:style>
  <w:style w:type="paragraph" w:styleId="a4">
    <w:name w:val="Body Text"/>
    <w:basedOn w:val="a"/>
    <w:link w:val="a5"/>
    <w:qFormat/>
    <w:pPr>
      <w:tabs>
        <w:tab w:val="left" w:pos="567"/>
      </w:tabs>
      <w:spacing w:before="120" w:line="22" w:lineRule="atLeast"/>
    </w:pPr>
    <w:rPr>
      <w:rFonts w:ascii="黑体" w:hAnsi="黑体"/>
      <w:sz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a9">
    <w:name w:val="批注文字 字符"/>
    <w:basedOn w:val="a0"/>
    <w:uiPriority w:val="99"/>
    <w:semiHidden/>
    <w:qFormat/>
    <w:rPr>
      <w:rFonts w:ascii="Courier New" w:eastAsia="黑体" w:hAnsi="Courier New" w:cs="Courier New"/>
      <w:szCs w:val="20"/>
    </w:rPr>
  </w:style>
  <w:style w:type="character" w:customStyle="1" w:styleId="a5">
    <w:name w:val="正文文本 字符"/>
    <w:basedOn w:val="a0"/>
    <w:link w:val="a4"/>
    <w:qFormat/>
    <w:rPr>
      <w:rFonts w:ascii="黑体" w:eastAsia="黑体" w:hAnsi="黑体" w:cs="Courier New"/>
      <w:sz w:val="24"/>
      <w:szCs w:val="20"/>
    </w:rPr>
  </w:style>
  <w:style w:type="character" w:customStyle="1" w:styleId="1">
    <w:name w:val="批注文字 字符1"/>
    <w:link w:val="a3"/>
    <w:uiPriority w:val="99"/>
    <w:qFormat/>
    <w:rPr>
      <w:rFonts w:ascii="Courier New" w:eastAsia="黑体" w:hAnsi="Courier New" w:cs="Courier New"/>
      <w:szCs w:val="24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ourier New" w:eastAsia="黑体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59E0-84DE-4E24-9588-679DE2A8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 Smart</dc:creator>
  <cp:lastModifiedBy>hefeng</cp:lastModifiedBy>
  <cp:revision>4</cp:revision>
  <dcterms:created xsi:type="dcterms:W3CDTF">2022-08-22T09:16:00Z</dcterms:created>
  <dcterms:modified xsi:type="dcterms:W3CDTF">2026-06-12T08:09:00Z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eyJoZGlkIjoiNzkxMzQzNTk2NWNlOTc4Y2IzZjIxOWI2ZTk5N2M4ZGEiLCJ1c2VySWQiOiIxOTcwMzUyMTcifQ==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E1D509366EC54C14BF544215AB1389CE_13</vt:lpwstr>
  </property>
</Properties>
</file>