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67E4A">
      <w:pPr>
        <w:widowControl/>
        <w:spacing w:after="90" w:line="315" w:lineRule="atLeast"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商贸中心文印店印刷机耗材采购项目评分表</w:t>
      </w:r>
    </w:p>
    <w:p w14:paraId="7A61FF3E">
      <w:pPr>
        <w:widowControl/>
        <w:spacing w:after="90" w:line="315" w:lineRule="atLeast"/>
        <w:rPr>
          <w:rFonts w:ascii="黑体" w:hAnsi="黑体" w:eastAsia="黑体" w:cs="宋体"/>
          <w:b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  <w:t>报价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公司名称：</w:t>
      </w:r>
    </w:p>
    <w:tbl>
      <w:tblPr>
        <w:tblStyle w:val="6"/>
        <w:tblW w:w="476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1068"/>
        <w:gridCol w:w="1636"/>
        <w:gridCol w:w="7892"/>
        <w:gridCol w:w="1411"/>
      </w:tblGrid>
      <w:tr w14:paraId="23B5E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tblHeader/>
          <w:jc w:val="center"/>
        </w:trPr>
        <w:tc>
          <w:tcPr>
            <w:tcW w:w="5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6E80D">
            <w:pPr>
              <w:widowControl/>
              <w:spacing w:after="90"/>
              <w:jc w:val="center"/>
              <w:rPr>
                <w:rFonts w:ascii="黑体" w:hAnsi="黑体" w:eastAsia="黑体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评审条款</w:t>
            </w:r>
          </w:p>
        </w:tc>
        <w:tc>
          <w:tcPr>
            <w:tcW w:w="39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07085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61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E59C9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评审项</w:t>
            </w:r>
          </w:p>
        </w:tc>
        <w:tc>
          <w:tcPr>
            <w:tcW w:w="294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24C8E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评审细则及分值</w:t>
            </w:r>
          </w:p>
        </w:tc>
        <w:tc>
          <w:tcPr>
            <w:tcW w:w="52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5098D9E3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得分</w:t>
            </w:r>
          </w:p>
        </w:tc>
      </w:tr>
      <w:tr w14:paraId="4DE3C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6C6B2">
            <w:pPr>
              <w:widowControl/>
              <w:spacing w:after="90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价格</w:t>
            </w:r>
          </w:p>
          <w:p w14:paraId="5796A995">
            <w:pPr>
              <w:widowControl/>
              <w:spacing w:after="90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部分</w:t>
            </w:r>
          </w:p>
          <w:p w14:paraId="7BF73C32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50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分）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B3A85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3FBEE">
            <w:pPr>
              <w:widowControl/>
              <w:spacing w:after="90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价格</w:t>
            </w:r>
          </w:p>
          <w:p w14:paraId="34E91672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50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分）</w:t>
            </w:r>
          </w:p>
        </w:tc>
        <w:tc>
          <w:tcPr>
            <w:tcW w:w="29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25299">
            <w:pPr>
              <w:widowControl/>
              <w:spacing w:after="90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满足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采购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文件要求且根据参考数量合计后的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采购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价格最低的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采购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报价为评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分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基准价，其价格分为满分。其他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报价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人的价格分统一按照下列公式计算：</w:t>
            </w:r>
          </w:p>
          <w:p w14:paraId="08E6E02C">
            <w:pPr>
              <w:widowControl/>
              <w:spacing w:after="90" w:line="15" w:lineRule="atLeast"/>
              <w:jc w:val="left"/>
              <w:rPr>
                <w:rFonts w:hint="default" w:ascii="黑体" w:hAnsi="黑体" w:eastAsia="黑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报价得分=（评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分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基准价/报价）×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50</w:t>
            </w:r>
            <w:bookmarkStart w:id="0" w:name="_GoBack"/>
            <w:bookmarkEnd w:id="0"/>
          </w:p>
        </w:tc>
        <w:tc>
          <w:tcPr>
            <w:tcW w:w="5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7E7D8333">
            <w:pPr>
              <w:widowControl/>
              <w:spacing w:after="90"/>
              <w:jc w:val="left"/>
              <w:rPr>
                <w:rFonts w:ascii="黑体" w:hAnsi="黑体" w:eastAsia="黑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34BA5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  <w:jc w:val="center"/>
        </w:trPr>
        <w:tc>
          <w:tcPr>
            <w:tcW w:w="521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B5C67">
            <w:pPr>
              <w:widowControl/>
              <w:spacing w:after="90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服务部分</w:t>
            </w:r>
          </w:p>
          <w:p w14:paraId="6B6FE635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50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分）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EF711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FEDC3">
            <w:pPr>
              <w:widowControl/>
              <w:spacing w:after="90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同类项目实施业绩及综合实力</w:t>
            </w:r>
          </w:p>
          <w:p w14:paraId="421C3107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分）</w:t>
            </w:r>
          </w:p>
        </w:tc>
        <w:tc>
          <w:tcPr>
            <w:tcW w:w="29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19BA1">
            <w:pPr>
              <w:widowControl/>
              <w:spacing w:after="90" w:line="15" w:lineRule="atLeast"/>
              <w:jc w:val="left"/>
              <w:rPr>
                <w:rFonts w:ascii="黑体" w:hAnsi="黑体" w:eastAsia="黑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1.根据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报价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人近三年（202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年4月以后）的同类货物供货项目业绩（指已完成的单项合同额在1万元及以上的供货项目业绩），以合同和货物清单（复印件加盖单位公章）为依据，每提供1个有效业绩得1分，最多得3分。</w:t>
            </w:r>
          </w:p>
          <w:p w14:paraId="723CC3A8">
            <w:pPr>
              <w:widowControl/>
              <w:spacing w:after="90" w:line="15" w:lineRule="atLeast"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2.根据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报价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人的整体实力水平情况（包括企业经营状况、财务状况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门店照片及的地址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等）酌情打0-2分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。</w:t>
            </w:r>
          </w:p>
          <w:p w14:paraId="62A83507">
            <w:pPr>
              <w:widowControl/>
              <w:spacing w:after="90" w:line="15" w:lineRule="atLeast"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3、提供富士施乐或者富士胶片、东芝中国25年授权代理书，授权代理一种2分，两种4分。</w:t>
            </w:r>
          </w:p>
          <w:p w14:paraId="472E6268">
            <w:pPr>
              <w:widowControl/>
              <w:spacing w:after="90" w:line="15" w:lineRule="atLeast"/>
              <w:jc w:val="left"/>
              <w:rPr>
                <w:rFonts w:hint="default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4、报价人需提供由富士施乐或富士胶片、东芝中国开具的购买耗材发票，提供近3年发票，每提供1张得1分，6分封顶。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77FADD6B">
            <w:pPr>
              <w:widowControl/>
              <w:spacing w:after="90" w:line="15" w:lineRule="atLeast"/>
              <w:jc w:val="left"/>
              <w:rPr>
                <w:rFonts w:ascii="黑体" w:hAnsi="黑体" w:eastAsia="黑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2B241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C3102D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2BE9F">
            <w:pPr>
              <w:widowControl/>
              <w:spacing w:after="90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4626F">
            <w:pPr>
              <w:widowControl/>
              <w:spacing w:after="90"/>
              <w:jc w:val="center"/>
              <w:rPr>
                <w:rFonts w:ascii="黑体" w:hAnsi="黑体" w:eastAsia="黑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产品规格参数说明及供货方案</w:t>
            </w:r>
          </w:p>
          <w:p w14:paraId="155BFB36">
            <w:pPr>
              <w:widowControl/>
              <w:spacing w:after="90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5分）</w:t>
            </w:r>
          </w:p>
        </w:tc>
        <w:tc>
          <w:tcPr>
            <w:tcW w:w="29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52FF2">
            <w:pPr>
              <w:widowControl/>
              <w:numPr>
                <w:ilvl w:val="0"/>
                <w:numId w:val="1"/>
              </w:numPr>
              <w:spacing w:after="90"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提供服务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上门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检测及维修）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每月一次10分、每两月一次6分、每季度及以上3分，无法提供0分；</w:t>
            </w:r>
          </w:p>
          <w:p w14:paraId="6FE170CB">
            <w:pPr>
              <w:widowControl/>
              <w:numPr>
                <w:ilvl w:val="0"/>
                <w:numId w:val="1"/>
              </w:numPr>
              <w:spacing w:after="90"/>
              <w:jc w:val="left"/>
              <w:rPr>
                <w:rFonts w:ascii="黑体" w:hAnsi="黑体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供货方案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及起送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量要求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无起送量要求5分，有起送量要求根据金额酌情打0-4分；</w:t>
            </w:r>
          </w:p>
          <w:p w14:paraId="47E152D9">
            <w:pPr>
              <w:widowControl/>
              <w:numPr>
                <w:ilvl w:val="0"/>
                <w:numId w:val="1"/>
              </w:numPr>
              <w:spacing w:after="90"/>
              <w:jc w:val="left"/>
              <w:rPr>
                <w:rFonts w:ascii="黑体" w:hAnsi="黑体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响应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时效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24小时内到店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）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10分，24小时以上0-9分酌情打分。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1E38EB65">
            <w:pPr>
              <w:widowControl/>
              <w:spacing w:after="90"/>
              <w:jc w:val="left"/>
              <w:rPr>
                <w:rFonts w:ascii="黑体" w:hAnsi="黑体" w:eastAsia="黑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6187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D1525E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CF222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4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B93A9">
            <w:pPr>
              <w:widowControl/>
              <w:spacing w:after="90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售后服务</w:t>
            </w:r>
          </w:p>
          <w:p w14:paraId="61C2C2BD">
            <w:pPr>
              <w:widowControl/>
              <w:spacing w:after="90" w:line="15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</w:rPr>
              <w:t>（10分）</w:t>
            </w:r>
          </w:p>
        </w:tc>
        <w:tc>
          <w:tcPr>
            <w:tcW w:w="294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28863">
            <w:pPr>
              <w:widowControl/>
              <w:numPr>
                <w:ilvl w:val="0"/>
                <w:numId w:val="2"/>
              </w:numPr>
              <w:spacing w:after="90"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配件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质保期内免费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提供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维修维护，包括更换问题部件、软件升级等，确保产品能正常使用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5分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。</w:t>
            </w:r>
          </w:p>
          <w:p w14:paraId="59898700">
            <w:pPr>
              <w:widowControl/>
              <w:numPr>
                <w:ilvl w:val="0"/>
                <w:numId w:val="2"/>
              </w:numPr>
              <w:spacing w:after="90"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退换货服务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3"/>
                <w:szCs w:val="23"/>
                <w:lang w:val="en-US" w:eastAsia="zh-CN"/>
              </w:rPr>
              <w:t>全新未拆封商品在质保期内能免费提供退换货服务5分。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53AF1197">
            <w:pPr>
              <w:widowControl/>
              <w:spacing w:after="90" w:line="15" w:lineRule="atLeast"/>
              <w:jc w:val="left"/>
              <w:rPr>
                <w:rFonts w:ascii="黑体" w:hAnsi="黑体" w:eastAsia="黑体" w:cs="宋体"/>
                <w:color w:val="auto"/>
                <w:kern w:val="0"/>
                <w:sz w:val="23"/>
                <w:szCs w:val="23"/>
              </w:rPr>
            </w:pPr>
          </w:p>
        </w:tc>
      </w:tr>
    </w:tbl>
    <w:p w14:paraId="54EE2832">
      <w:pPr>
        <w:ind w:firstLine="590" w:firstLineChars="245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评审人：                                                                               评审日期：</w:t>
      </w:r>
    </w:p>
    <w:sectPr>
      <w:pgSz w:w="16838" w:h="11906" w:orient="landscape"/>
      <w:pgMar w:top="709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DB4EA8"/>
    <w:multiLevelType w:val="singleLevel"/>
    <w:tmpl w:val="E3DB4EA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1C6E2B1"/>
    <w:multiLevelType w:val="singleLevel"/>
    <w:tmpl w:val="F1C6E2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OGRmMWFlYmI2Mzg4Yzc1ZTQ1MDAyZDEyNjNhMjQifQ=="/>
  </w:docVars>
  <w:rsids>
    <w:rsidRoot w:val="007D5355"/>
    <w:rsid w:val="00271663"/>
    <w:rsid w:val="00427647"/>
    <w:rsid w:val="004F23AF"/>
    <w:rsid w:val="0057244F"/>
    <w:rsid w:val="00620866"/>
    <w:rsid w:val="00757A44"/>
    <w:rsid w:val="00793A2A"/>
    <w:rsid w:val="007D5355"/>
    <w:rsid w:val="00BC5653"/>
    <w:rsid w:val="00C16502"/>
    <w:rsid w:val="054425C8"/>
    <w:rsid w:val="0B1D16F4"/>
    <w:rsid w:val="0D422ACD"/>
    <w:rsid w:val="0EA90938"/>
    <w:rsid w:val="19B83B8C"/>
    <w:rsid w:val="1E206234"/>
    <w:rsid w:val="22D52287"/>
    <w:rsid w:val="23577DD7"/>
    <w:rsid w:val="243A5657"/>
    <w:rsid w:val="2C4604BD"/>
    <w:rsid w:val="2F4B5DEA"/>
    <w:rsid w:val="30FD694B"/>
    <w:rsid w:val="33BD520C"/>
    <w:rsid w:val="3410412B"/>
    <w:rsid w:val="382974C8"/>
    <w:rsid w:val="3848736B"/>
    <w:rsid w:val="45E45CCD"/>
    <w:rsid w:val="486D028E"/>
    <w:rsid w:val="4B6C6081"/>
    <w:rsid w:val="4CEE547D"/>
    <w:rsid w:val="4D294430"/>
    <w:rsid w:val="523D69A2"/>
    <w:rsid w:val="546450D5"/>
    <w:rsid w:val="54B90F7D"/>
    <w:rsid w:val="56CD0665"/>
    <w:rsid w:val="5B71645F"/>
    <w:rsid w:val="60934A46"/>
    <w:rsid w:val="63DC040D"/>
    <w:rsid w:val="661E25F3"/>
    <w:rsid w:val="6CB43A23"/>
    <w:rsid w:val="740D3149"/>
    <w:rsid w:val="79B2493F"/>
    <w:rsid w:val="7A100D8F"/>
    <w:rsid w:val="7CC6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字符"/>
    <w:basedOn w:val="7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556</Words>
  <Characters>578</Characters>
  <Lines>5</Lines>
  <Paragraphs>1</Paragraphs>
  <TotalTime>3</TotalTime>
  <ScaleCrop>false</ScaleCrop>
  <LinksUpToDate>false</LinksUpToDate>
  <CharactersWithSpaces>657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2022-03-03T05:39:00Z</dcterms:created>
  <dc:creator>Users</dc:creator>
  <cp:lastModifiedBy>小狠晔</cp:lastModifiedBy>
  <cp:lastPrinted>2023-04-17T09:38:00Z</cp:lastPrinted>
  <dcterms:modified xsi:type="dcterms:W3CDTF">2025-11-12T02:17:38Z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848D1D8AFF86477C8FB4790F16B3AD9B</vt:lpwstr>
  </property>
  <property fmtid="{D5CDD505-2E9C-101B-9397-08002B2CF9AE}" pid="4" name="KSOTemplateDocerSaveRecord">
    <vt:lpwstr>eyJoZGlkIjoiYzQzOGRmMWFlYmI2Mzg4Yzc1ZTQ1MDAyZDEyNjNhMjQiLCJ1c2VySWQiOiI0MDY4MTM2NjIifQ==</vt:lpwstr>
  </property>
</Properties>
</file>