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0B112" w14:textId="77777777" w:rsidR="00CB38CC" w:rsidRDefault="000846AF">
      <w:pPr>
        <w:widowControl/>
        <w:spacing w:after="90" w:line="315" w:lineRule="atLeast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附件二：</w:t>
      </w:r>
    </w:p>
    <w:p w14:paraId="7AEDFC7A" w14:textId="7AC9F334" w:rsidR="00CB38CC" w:rsidRPr="008300C7" w:rsidRDefault="008300C7" w:rsidP="008300C7">
      <w:pPr>
        <w:widowControl/>
        <w:spacing w:after="90" w:line="315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 w:rsidRPr="008300C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餐饮服务中心中秋月饼采购项目</w:t>
      </w:r>
      <w:r w:rsidR="000846AF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评分表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298"/>
        <w:gridCol w:w="1986"/>
        <w:gridCol w:w="9555"/>
      </w:tblGrid>
      <w:tr w:rsidR="008300C7" w14:paraId="4D645C9E" w14:textId="77777777" w:rsidTr="008300C7">
        <w:trPr>
          <w:trHeight w:val="705"/>
          <w:tblHeader/>
          <w:jc w:val="center"/>
        </w:trPr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165F4" w14:textId="77777777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3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6D425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5A291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32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8B45A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</w:tr>
      <w:tr w:rsidR="008300C7" w14:paraId="0AB9A610" w14:textId="77777777" w:rsidTr="008300C7">
        <w:trPr>
          <w:trHeight w:val="951"/>
          <w:jc w:val="center"/>
        </w:trPr>
        <w:tc>
          <w:tcPr>
            <w:tcW w:w="68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D11B3" w14:textId="77777777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价格部分</w:t>
            </w:r>
          </w:p>
          <w:p w14:paraId="28D7CFFD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（40分）</w:t>
            </w: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B9B7E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951ED" w14:textId="77777777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495F6474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（40分）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36D73" w14:textId="78EACA07" w:rsidR="008300C7" w:rsidRDefault="008300C7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满足采购文件要求且价格最低的报价为评审基准价，其价格分为满分。其他报价人的价格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分统一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按照下列公式计算：</w:t>
            </w:r>
          </w:p>
          <w:p w14:paraId="2D029DF2" w14:textId="0DDFC38F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报价得分=（评审基准价/报价）×40</w:t>
            </w:r>
          </w:p>
        </w:tc>
      </w:tr>
      <w:tr w:rsidR="008300C7" w14:paraId="78830E21" w14:textId="77777777" w:rsidTr="008300C7">
        <w:trPr>
          <w:trHeight w:val="90"/>
          <w:jc w:val="center"/>
        </w:trPr>
        <w:tc>
          <w:tcPr>
            <w:tcW w:w="688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64417" w14:textId="77777777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技术部分</w:t>
            </w:r>
          </w:p>
          <w:p w14:paraId="754B9F67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（30分）</w:t>
            </w: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9DB31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00F92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生产配套设施</w:t>
            </w:r>
          </w:p>
          <w:p w14:paraId="4F807F10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（10分）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F75DC" w14:textId="315C8D41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对供应商提供的企业生产规模，比如：占地规模、车间情况、加工生产线、化验室、质量检测场所和设备等情况进行比较。</w:t>
            </w:r>
          </w:p>
          <w:p w14:paraId="0C0DAE42" w14:textId="5965CC54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占地规模、车间情况、加工生产线、化验室、质量检测场所和设备优秀得10分；</w:t>
            </w:r>
          </w:p>
          <w:p w14:paraId="584ECADD" w14:textId="46A3CF2E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占地规模、车间情况、加工生产线、化验室、质量检测场所和设备较好得8分；</w:t>
            </w:r>
          </w:p>
          <w:p w14:paraId="5E27F883" w14:textId="3537D3D0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占地规模、车间情况、加工生产线、化验室、质量检测场所和设备一般得5分；</w:t>
            </w:r>
          </w:p>
          <w:p w14:paraId="3B13E106" w14:textId="77777777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占地规模、车间情况、加工生产线、化验室、质量检测场所和设备较差2分；</w:t>
            </w:r>
          </w:p>
          <w:p w14:paraId="66F0ECA1" w14:textId="77777777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未提供不得分。</w:t>
            </w:r>
          </w:p>
          <w:p w14:paraId="38F45B57" w14:textId="71C9D4AD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（须附相关材料，可提供图片说明)</w:t>
            </w:r>
          </w:p>
        </w:tc>
      </w:tr>
      <w:tr w:rsidR="008300C7" w14:paraId="0FA435E9" w14:textId="77777777" w:rsidTr="008300C7">
        <w:trPr>
          <w:trHeight w:val="6188"/>
          <w:jc w:val="center"/>
        </w:trPr>
        <w:tc>
          <w:tcPr>
            <w:tcW w:w="6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76E71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7B81E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6AB3E" w14:textId="43B2B906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样品</w:t>
            </w:r>
          </w:p>
          <w:p w14:paraId="7EBD37AD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（20分）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02984" w14:textId="4AD6F040" w:rsidR="008300C7" w:rsidRDefault="008300C7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外观及规格要求：从是否品相好、颜色正、色泽美观等外观方面及是否足斤足两、形状、样式等规格要求是否满足采购需求进行比较。</w:t>
            </w:r>
          </w:p>
          <w:p w14:paraId="40F918E7" w14:textId="4BC7004F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品相好、颜色正、色泽美观、规格要求完全满足采购需求，得6分；</w:t>
            </w:r>
          </w:p>
          <w:p w14:paraId="77CBA9C7" w14:textId="06619C5A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品相较好、颜色较正、色泽较为美观、规格要求较好满足采购需求得4分；</w:t>
            </w:r>
          </w:p>
          <w:p w14:paraId="4538905F" w14:textId="4FDF1AA0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品相一般、颜色一般、色泽较为一般、规格要求一般满足采购需求得2分；</w:t>
            </w:r>
          </w:p>
          <w:p w14:paraId="56664610" w14:textId="13418277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品相、颜色、色泽、规格要求等方面有部分负偏离得1分；</w:t>
            </w:r>
          </w:p>
          <w:p w14:paraId="05359EB8" w14:textId="0DD496BE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品相、颜色、色泽、规格要求等方面有较明显不满足及其余情况不得分。</w:t>
            </w:r>
          </w:p>
          <w:p w14:paraId="3EC9885C" w14:textId="26C0407A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（2）口味：从月饼样品是否遵从配方本味、是否口味纯正、无杂味异味、不同口味月饼是否能凸显特色等方面进行比较。</w:t>
            </w:r>
          </w:p>
          <w:p w14:paraId="2CC2FDF2" w14:textId="06FA1168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味道完全满足要求得7分；</w:t>
            </w:r>
          </w:p>
          <w:p w14:paraId="5E1DCD05" w14:textId="71EED2ED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味道较能满足要求得5分；</w:t>
            </w:r>
          </w:p>
          <w:p w14:paraId="20F4E586" w14:textId="21C65E57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味道基本满足要求得3分；</w:t>
            </w:r>
          </w:p>
          <w:p w14:paraId="4BFBCF2B" w14:textId="01401A67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部分满足得1分；</w:t>
            </w:r>
          </w:p>
          <w:p w14:paraId="008E1E40" w14:textId="384F0EE9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口味偏离较大及其余情况不得分。</w:t>
            </w:r>
          </w:p>
          <w:p w14:paraId="43CF96F4" w14:textId="16478C40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(注：供应商提供样品未能涵盖采购需求中所有品类的，本项不得分)</w:t>
            </w:r>
          </w:p>
          <w:p w14:paraId="75E885CE" w14:textId="2857C96C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（3）口感：根据月饼的特点对样品口感进行评价。能否做到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桃山皮月饼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细腻饱满、清甜不腻。</w:t>
            </w:r>
          </w:p>
          <w:p w14:paraId="7770D012" w14:textId="69E45523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口感优秀得7分；</w:t>
            </w:r>
          </w:p>
          <w:p w14:paraId="0391FA30" w14:textId="77A30ADC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口感良好得5分；</w:t>
            </w:r>
          </w:p>
          <w:p w14:paraId="7EE11BA2" w14:textId="0F83E030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口感基本满足要求得3分；</w:t>
            </w:r>
          </w:p>
          <w:p w14:paraId="73A8D613" w14:textId="10F2EDC2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口感部分偏离得1分；</w:t>
            </w:r>
          </w:p>
          <w:p w14:paraId="0779F13C" w14:textId="1CEE0E57" w:rsidR="008300C7" w:rsidRDefault="008300C7" w:rsidP="008300C7">
            <w:pPr>
              <w:widowControl/>
              <w:spacing w:after="90" w:line="15" w:lineRule="atLeast"/>
              <w:ind w:firstLineChars="200" w:firstLine="460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口感偏离较大或其余情况不得分。</w:t>
            </w:r>
          </w:p>
          <w:p w14:paraId="588FE5B8" w14:textId="77777777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(注：供应商提供样品未能涵盖要求提供的所有品类的，本项不得分)</w:t>
            </w:r>
          </w:p>
        </w:tc>
      </w:tr>
      <w:tr w:rsidR="008300C7" w14:paraId="37312E34" w14:textId="77777777" w:rsidTr="008300C7">
        <w:trPr>
          <w:trHeight w:val="1102"/>
          <w:jc w:val="center"/>
        </w:trPr>
        <w:tc>
          <w:tcPr>
            <w:tcW w:w="688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287FC" w14:textId="0B26CA00" w:rsidR="008300C7" w:rsidRDefault="008300C7" w:rsidP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lastRenderedPageBreak/>
              <w:t>商务部分</w:t>
            </w:r>
          </w:p>
          <w:p w14:paraId="638C4A5E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（30分）</w:t>
            </w: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00845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4F1EA" w14:textId="77777777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同类项目实施业绩</w:t>
            </w:r>
          </w:p>
          <w:p w14:paraId="2581D891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（10分）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A4C0D" w14:textId="2C2D819B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根据报价人近三年（2023年07月至今）的同类货物供货项目业绩，以合同和货物清单（复印件加盖单位公章）为依据，每提供1个有效业绩得2分，最多得10分。</w:t>
            </w:r>
          </w:p>
        </w:tc>
      </w:tr>
      <w:tr w:rsidR="008300C7" w14:paraId="72A90144" w14:textId="77777777" w:rsidTr="008300C7">
        <w:trPr>
          <w:trHeight w:val="1094"/>
          <w:jc w:val="center"/>
        </w:trPr>
        <w:tc>
          <w:tcPr>
            <w:tcW w:w="68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90EE8" w14:textId="77777777" w:rsidR="008300C7" w:rsidRDefault="008300C7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1484F" w14:textId="77777777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67C8B" w14:textId="48434503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报价人的综合实力</w:t>
            </w:r>
          </w:p>
          <w:p w14:paraId="51CB46EE" w14:textId="77777777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（7分）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E764E" w14:textId="18B9073C" w:rsidR="008300C7" w:rsidRDefault="008300C7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根据报价人的整体实力水平情况（包括企业经营状况、财务状况、信誉、获奖情况、专利等），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0-7分。</w:t>
            </w:r>
          </w:p>
        </w:tc>
      </w:tr>
      <w:tr w:rsidR="008300C7" w14:paraId="63C300BF" w14:textId="77777777" w:rsidTr="008300C7">
        <w:trPr>
          <w:trHeight w:val="1094"/>
          <w:jc w:val="center"/>
        </w:trPr>
        <w:tc>
          <w:tcPr>
            <w:tcW w:w="68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6B94" w14:textId="77777777" w:rsidR="008300C7" w:rsidRDefault="008300C7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D8481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EACC7" w14:textId="16313243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供货方案</w:t>
            </w:r>
          </w:p>
          <w:p w14:paraId="4644ACA8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（6分）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C552F" w14:textId="4D940A3A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</w:t>
            </w:r>
            <w:r w:rsidR="004F3E9F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提供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的</w:t>
            </w:r>
            <w:r w:rsidR="004F3E9F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供货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方案，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0-6分。</w:t>
            </w:r>
          </w:p>
        </w:tc>
      </w:tr>
      <w:tr w:rsidR="008300C7" w14:paraId="761DCE93" w14:textId="77777777" w:rsidTr="008300C7">
        <w:trPr>
          <w:trHeight w:val="841"/>
          <w:jc w:val="center"/>
        </w:trPr>
        <w:tc>
          <w:tcPr>
            <w:tcW w:w="68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E9D5B" w14:textId="77777777" w:rsidR="008300C7" w:rsidRDefault="008300C7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D501C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6AA97" w14:textId="77777777" w:rsidR="008300C7" w:rsidRDefault="008300C7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售后服务</w:t>
            </w:r>
          </w:p>
          <w:p w14:paraId="7BDE5D93" w14:textId="77777777" w:rsidR="008300C7" w:rsidRDefault="008300C7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（7分）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F5DBF" w14:textId="45C29CF0" w:rsidR="008300C7" w:rsidRDefault="008300C7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根据报价人所报售后服务情况（包括质保期及售后服务措施），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0-7分。</w:t>
            </w:r>
          </w:p>
        </w:tc>
      </w:tr>
    </w:tbl>
    <w:p w14:paraId="2FE84188" w14:textId="77777777" w:rsidR="00CB38CC" w:rsidRDefault="00CB38CC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</w:p>
    <w:p w14:paraId="49EA464B" w14:textId="77D2BDC5" w:rsidR="00CB38CC" w:rsidRDefault="000846AF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评审人：                                                                               评审日期：</w:t>
      </w:r>
    </w:p>
    <w:p w14:paraId="30178300" w14:textId="77777777" w:rsidR="00CB38CC" w:rsidRDefault="00CB38CC">
      <w:bookmarkStart w:id="0" w:name="_GoBack"/>
      <w:bookmarkEnd w:id="0"/>
    </w:p>
    <w:sectPr w:rsidR="00CB38CC">
      <w:pgSz w:w="16838" w:h="11906" w:orient="landscape"/>
      <w:pgMar w:top="1100" w:right="1080" w:bottom="93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4FABF" w14:textId="77777777" w:rsidR="005F1940" w:rsidRDefault="005F1940" w:rsidP="008300C7">
      <w:r>
        <w:separator/>
      </w:r>
    </w:p>
  </w:endnote>
  <w:endnote w:type="continuationSeparator" w:id="0">
    <w:p w14:paraId="148167AE" w14:textId="77777777" w:rsidR="005F1940" w:rsidRDefault="005F1940" w:rsidP="0083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5D5D5" w14:textId="77777777" w:rsidR="005F1940" w:rsidRDefault="005F1940" w:rsidP="008300C7">
      <w:r>
        <w:separator/>
      </w:r>
    </w:p>
  </w:footnote>
  <w:footnote w:type="continuationSeparator" w:id="0">
    <w:p w14:paraId="3495455E" w14:textId="77777777" w:rsidR="005F1940" w:rsidRDefault="005F1940" w:rsidP="0083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CE5"/>
    <w:multiLevelType w:val="singleLevel"/>
    <w:tmpl w:val="043F1CE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2NDQ0OGY5NDg4MTNjYWRhYzc1YWVjZTNkNWRiNjEifQ=="/>
  </w:docVars>
  <w:rsids>
    <w:rsidRoot w:val="7DBC4AC5"/>
    <w:rsid w:val="000846AF"/>
    <w:rsid w:val="004F3E9F"/>
    <w:rsid w:val="005F1940"/>
    <w:rsid w:val="008300C7"/>
    <w:rsid w:val="00935D8B"/>
    <w:rsid w:val="00CB38CC"/>
    <w:rsid w:val="03E66325"/>
    <w:rsid w:val="19EE0606"/>
    <w:rsid w:val="23D011AC"/>
    <w:rsid w:val="25445C0D"/>
    <w:rsid w:val="27A51C72"/>
    <w:rsid w:val="28702875"/>
    <w:rsid w:val="2CC128D1"/>
    <w:rsid w:val="2EA208C6"/>
    <w:rsid w:val="32B75C71"/>
    <w:rsid w:val="37211BB7"/>
    <w:rsid w:val="3D636BD0"/>
    <w:rsid w:val="3E767B81"/>
    <w:rsid w:val="43F2291D"/>
    <w:rsid w:val="450224B3"/>
    <w:rsid w:val="4A1452FF"/>
    <w:rsid w:val="4D1F0243"/>
    <w:rsid w:val="507408A5"/>
    <w:rsid w:val="54085ED4"/>
    <w:rsid w:val="5E7A5C21"/>
    <w:rsid w:val="5F4E6765"/>
    <w:rsid w:val="602C389A"/>
    <w:rsid w:val="615D040D"/>
    <w:rsid w:val="6D994992"/>
    <w:rsid w:val="71285AAC"/>
    <w:rsid w:val="74AF784E"/>
    <w:rsid w:val="75466405"/>
    <w:rsid w:val="75E35A02"/>
    <w:rsid w:val="7DB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C2FD8"/>
  <w15:docId w15:val="{8D6BE10C-B41F-4D6D-8B82-8556232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30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00C7"/>
    <w:rPr>
      <w:kern w:val="2"/>
      <w:sz w:val="18"/>
      <w:szCs w:val="18"/>
    </w:rPr>
  </w:style>
  <w:style w:type="paragraph" w:styleId="a5">
    <w:name w:val="footer"/>
    <w:basedOn w:val="a"/>
    <w:link w:val="a6"/>
    <w:rsid w:val="00830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00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刘金坤</dc:creator>
  <cp:lastModifiedBy>hefeng</cp:lastModifiedBy>
  <cp:revision>4</cp:revision>
  <dcterms:created xsi:type="dcterms:W3CDTF">2024-07-16T06:58:00Z</dcterms:created>
  <dcterms:modified xsi:type="dcterms:W3CDTF">2026-07-19T08:36:00Z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8EE0EE15BCB3400FA151AD394164564D_11</vt:lpwstr>
  </property>
  <property fmtid="{D5CDD505-2E9C-101B-9397-08002B2CF9AE}" pid="4" name="KSOTemplateDocerSaveRecord">
    <vt:lpwstr>eyJoZGlkIjoiMWY2NDQ0OGY5NDg4MTNjYWRhYzc1YWVjZTNkNWRiNjEifQ==</vt:lpwstr>
  </property>
</Properties>
</file>